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A834" w14:textId="77777777" w:rsidR="00CD407B" w:rsidRPr="00D27FED" w:rsidRDefault="00D27FED" w:rsidP="00077C01">
      <w:pPr>
        <w:jc w:val="center"/>
      </w:pPr>
      <w:r>
        <w:rPr>
          <w:noProof/>
          <w:lang w:val="en-US"/>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50E02821" w14:textId="5B50B4A7" w:rsidR="00D27FED" w:rsidRPr="00642219" w:rsidRDefault="00FC7537" w:rsidP="0062071E">
            <w:pPr>
              <w:contextualSpacing/>
              <w:jc w:val="center"/>
              <w:rPr>
                <w:rFonts w:ascii="Arial" w:hAnsi="Arial" w:cs="Arial"/>
                <w:b/>
                <w:color w:val="FF0000"/>
                <w:sz w:val="24"/>
                <w:szCs w:val="24"/>
              </w:rPr>
            </w:pPr>
            <w:r w:rsidRPr="00642219">
              <w:rPr>
                <w:rFonts w:ascii="Arial" w:hAnsi="Arial" w:cs="Arial"/>
                <w:b/>
                <w:color w:val="FFFFFF" w:themeColor="background1"/>
                <w:sz w:val="24"/>
                <w:szCs w:val="24"/>
              </w:rPr>
              <w:t>BIOL 4155  Advanced Virology (20</w:t>
            </w:r>
            <w:r w:rsidR="006B078F">
              <w:rPr>
                <w:rFonts w:ascii="Arial" w:hAnsi="Arial" w:cs="Arial"/>
                <w:b/>
                <w:color w:val="FFFFFF" w:themeColor="background1"/>
                <w:sz w:val="24"/>
                <w:szCs w:val="24"/>
              </w:rPr>
              <w:t>2</w:t>
            </w:r>
            <w:r w:rsidR="003541C2">
              <w:rPr>
                <w:rFonts w:ascii="Arial" w:hAnsi="Arial" w:cs="Arial"/>
                <w:b/>
                <w:color w:val="FFFFFF" w:themeColor="background1"/>
                <w:sz w:val="24"/>
                <w:szCs w:val="24"/>
              </w:rPr>
              <w:t>1</w:t>
            </w:r>
            <w:r w:rsidRPr="00642219">
              <w:rPr>
                <w:rFonts w:ascii="Arial" w:hAnsi="Arial" w:cs="Arial"/>
                <w:b/>
                <w:color w:val="FFFFFF" w:themeColor="background1"/>
                <w:sz w:val="24"/>
                <w:szCs w:val="24"/>
              </w:rPr>
              <w:t>-20</w:t>
            </w:r>
            <w:r w:rsidR="00CC0596">
              <w:rPr>
                <w:rFonts w:ascii="Arial" w:hAnsi="Arial" w:cs="Arial"/>
                <w:b/>
                <w:color w:val="FFFFFF" w:themeColor="background1"/>
                <w:sz w:val="24"/>
                <w:szCs w:val="24"/>
              </w:rPr>
              <w:t>2</w:t>
            </w:r>
            <w:r w:rsidR="003541C2">
              <w:rPr>
                <w:rFonts w:ascii="Arial" w:hAnsi="Arial" w:cs="Arial"/>
                <w:b/>
                <w:color w:val="FFFFFF" w:themeColor="background1"/>
                <w:sz w:val="24"/>
                <w:szCs w:val="24"/>
              </w:rPr>
              <w:t>2</w:t>
            </w:r>
            <w:r w:rsidRPr="00642219">
              <w:rPr>
                <w:rFonts w:ascii="Arial" w:hAnsi="Arial" w:cs="Arial"/>
                <w:b/>
                <w:color w:val="FFFFFF" w:themeColor="background1"/>
                <w:sz w:val="24"/>
                <w:szCs w:val="24"/>
              </w:rPr>
              <w:t>)</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B403DD">
        <w:trPr>
          <w:trHeight w:val="705"/>
        </w:trPr>
        <w:tc>
          <w:tcPr>
            <w:tcW w:w="9411" w:type="dxa"/>
            <w:shd w:val="clear" w:color="auto" w:fill="auto"/>
          </w:tcPr>
          <w:p w14:paraId="7B26802F" w14:textId="50CE2C0F" w:rsidR="00E535A7" w:rsidRPr="00E535A7" w:rsidRDefault="00FC7537" w:rsidP="00D27FED">
            <w:pPr>
              <w:contextualSpacing/>
              <w:rPr>
                <w:rFonts w:ascii="Arial" w:hAnsi="Arial" w:cs="Arial"/>
                <w:color w:val="000000" w:themeColor="text1"/>
                <w:sz w:val="20"/>
                <w:szCs w:val="20"/>
              </w:rPr>
            </w:pPr>
            <w:r w:rsidRPr="00FC7537">
              <w:rPr>
                <w:rFonts w:ascii="Arial" w:hAnsi="Arial" w:cs="Arial"/>
                <w:color w:val="000000" w:themeColor="text1"/>
                <w:sz w:val="20"/>
                <w:szCs w:val="20"/>
              </w:rPr>
              <w:t>This course investigates advanced concepts and experimental systems in virology, including recent basic and applied research that has led to major scientific innovations in medicine, agriculture and nanotechnology</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07DE25EC"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r w:rsidR="007C6F0B">
              <w:rPr>
                <w:rFonts w:ascii="Arial" w:hAnsi="Arial" w:cs="Arial"/>
                <w:color w:val="FFFFFF" w:themeColor="background1"/>
                <w:sz w:val="24"/>
                <w:szCs w:val="24"/>
              </w:rPr>
              <w:t xml:space="preserve"> (strictly enforced)</w:t>
            </w:r>
          </w:p>
        </w:tc>
      </w:tr>
      <w:tr w:rsidR="008B54B4" w:rsidRPr="00077C01" w14:paraId="526A3BAF" w14:textId="77777777" w:rsidTr="00FC7537">
        <w:trPr>
          <w:trHeight w:val="364"/>
        </w:trPr>
        <w:tc>
          <w:tcPr>
            <w:tcW w:w="9411" w:type="dxa"/>
          </w:tcPr>
          <w:p w14:paraId="32D938F1" w14:textId="6EA82FDE" w:rsidR="008B54B4" w:rsidRPr="00A03BC5" w:rsidRDefault="00FC7537" w:rsidP="008B54B4">
            <w:pPr>
              <w:contextualSpacing/>
              <w:rPr>
                <w:rFonts w:ascii="Arial" w:hAnsi="Arial" w:cs="Arial"/>
                <w:color w:val="FF0000"/>
                <w:sz w:val="20"/>
                <w:szCs w:val="20"/>
              </w:rPr>
            </w:pPr>
            <w:r w:rsidRPr="00A03BC5">
              <w:rPr>
                <w:rFonts w:ascii="Arial" w:hAnsi="Arial" w:cs="Arial"/>
                <w:color w:val="000000" w:themeColor="text1"/>
                <w:sz w:val="20"/>
                <w:szCs w:val="20"/>
              </w:rPr>
              <w:t>SC/BIOL 3110, SC/BIOL 3130, SC/BIOL 3155</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9364" w:type="dxa"/>
        <w:tblBorders>
          <w:insideV w:val="single" w:sz="4" w:space="0" w:color="FF0000"/>
        </w:tblBorders>
        <w:tblLook w:val="04A0" w:firstRow="1" w:lastRow="0" w:firstColumn="1" w:lastColumn="0" w:noHBand="0" w:noVBand="1"/>
      </w:tblPr>
      <w:tblGrid>
        <w:gridCol w:w="9364"/>
      </w:tblGrid>
      <w:tr w:rsidR="004F6039" w:rsidRPr="00077C01" w14:paraId="5E53195E" w14:textId="77777777" w:rsidTr="00FC7537">
        <w:trPr>
          <w:trHeight w:val="205"/>
        </w:trPr>
        <w:tc>
          <w:tcPr>
            <w:tcW w:w="9364" w:type="dxa"/>
            <w:shd w:val="clear" w:color="auto" w:fill="FF0000"/>
          </w:tcPr>
          <w:p w14:paraId="3C4C833A" w14:textId="693FF29B"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w:t>
            </w:r>
            <w:r w:rsidR="007C6F0B">
              <w:rPr>
                <w:rFonts w:ascii="Arial" w:hAnsi="Arial" w:cs="Arial"/>
                <w:color w:val="FFFFFF" w:themeColor="background1"/>
                <w:sz w:val="24"/>
                <w:szCs w:val="24"/>
              </w:rPr>
              <w:t>(</w:t>
            </w:r>
            <w:r>
              <w:rPr>
                <w:rFonts w:ascii="Arial" w:hAnsi="Arial" w:cs="Arial"/>
                <w:color w:val="FFFFFF" w:themeColor="background1"/>
                <w:sz w:val="24"/>
                <w:szCs w:val="24"/>
              </w:rPr>
              <w:t>s</w:t>
            </w:r>
            <w:r w:rsidR="007C6F0B">
              <w:rPr>
                <w:rFonts w:ascii="Arial" w:hAnsi="Arial" w:cs="Arial"/>
                <w:color w:val="FFFFFF" w:themeColor="background1"/>
                <w:sz w:val="24"/>
                <w:szCs w:val="24"/>
              </w:rPr>
              <w:t>)</w:t>
            </w:r>
            <w:r>
              <w:rPr>
                <w:rFonts w:ascii="Arial" w:hAnsi="Arial" w:cs="Arial"/>
                <w:color w:val="FFFFFF" w:themeColor="background1"/>
                <w:sz w:val="24"/>
                <w:szCs w:val="24"/>
              </w:rPr>
              <w:t xml:space="preserve"> and Contact Information</w:t>
            </w:r>
          </w:p>
        </w:tc>
      </w:tr>
      <w:tr w:rsidR="004F6039" w:rsidRPr="00077C01" w14:paraId="16BDDB4A" w14:textId="77777777" w:rsidTr="00FC7537">
        <w:trPr>
          <w:trHeight w:val="880"/>
        </w:trPr>
        <w:tc>
          <w:tcPr>
            <w:tcW w:w="9364" w:type="dxa"/>
          </w:tcPr>
          <w:p w14:paraId="2E3231B6"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Prof. K. Andrew White</w:t>
            </w:r>
          </w:p>
          <w:p w14:paraId="56A9E5C3"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B304 Farquharson Building (3rd floor)</w:t>
            </w:r>
          </w:p>
          <w:p w14:paraId="684E1664" w14:textId="4EE05117" w:rsidR="008B54B4" w:rsidRPr="00713B46" w:rsidRDefault="00FC7537" w:rsidP="00FC7537">
            <w:pPr>
              <w:autoSpaceDE w:val="0"/>
              <w:autoSpaceDN w:val="0"/>
              <w:adjustRightInd w:val="0"/>
              <w:rPr>
                <w:rFonts w:ascii="Arial" w:hAnsi="Arial" w:cs="Arial"/>
                <w:color w:val="FF0000"/>
                <w:sz w:val="20"/>
                <w:szCs w:val="20"/>
              </w:rPr>
            </w:pPr>
            <w:r w:rsidRPr="00FC7537">
              <w:rPr>
                <w:rFonts w:ascii="Arial" w:hAnsi="Arial" w:cs="Arial"/>
                <w:color w:val="000000" w:themeColor="text1"/>
                <w:sz w:val="20"/>
                <w:szCs w:val="20"/>
              </w:rPr>
              <w:t>kawhite@yorku.ca</w:t>
            </w: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FC7537">
        <w:trPr>
          <w:trHeight w:val="101"/>
        </w:trPr>
        <w:tc>
          <w:tcPr>
            <w:tcW w:w="9350" w:type="dxa"/>
            <w:shd w:val="clear" w:color="auto" w:fill="FF0000"/>
          </w:tcPr>
          <w:p w14:paraId="3266BBB4" w14:textId="7721F860" w:rsidR="005D49AF" w:rsidRPr="008B54B4" w:rsidRDefault="0064221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FC7537">
        <w:trPr>
          <w:trHeight w:val="431"/>
        </w:trPr>
        <w:tc>
          <w:tcPr>
            <w:tcW w:w="9350" w:type="dxa"/>
          </w:tcPr>
          <w:p w14:paraId="1E7256D7" w14:textId="2C388BD2" w:rsidR="008B54B4" w:rsidRPr="00713B46" w:rsidRDefault="00FC7537" w:rsidP="00FC7537">
            <w:pPr>
              <w:contextualSpacing/>
              <w:rPr>
                <w:rFonts w:ascii="Arial" w:hAnsi="Arial" w:cs="Arial"/>
                <w:color w:val="FF0000"/>
                <w:sz w:val="20"/>
                <w:szCs w:val="20"/>
              </w:rPr>
            </w:pPr>
            <w:r w:rsidRPr="00FC7537">
              <w:rPr>
                <w:rFonts w:ascii="Arial" w:hAnsi="Arial" w:cs="Arial"/>
                <w:sz w:val="20"/>
                <w:szCs w:val="20"/>
              </w:rPr>
              <w:t>Tue and Thu</w:t>
            </w:r>
            <w:r w:rsidR="003541C2">
              <w:rPr>
                <w:rFonts w:ascii="Arial" w:hAnsi="Arial" w:cs="Arial"/>
                <w:sz w:val="20"/>
                <w:szCs w:val="20"/>
              </w:rPr>
              <w:t>r</w:t>
            </w:r>
            <w:r w:rsidRPr="00FC7537">
              <w:rPr>
                <w:rFonts w:ascii="Arial" w:hAnsi="Arial" w:cs="Arial"/>
                <w:sz w:val="20"/>
                <w:szCs w:val="20"/>
              </w:rPr>
              <w:t>, 5:30 – 7:00 pm</w:t>
            </w: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FC7537">
        <w:trPr>
          <w:trHeight w:val="122"/>
        </w:trPr>
        <w:tc>
          <w:tcPr>
            <w:tcW w:w="9350"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FC7537">
        <w:trPr>
          <w:trHeight w:val="900"/>
        </w:trPr>
        <w:tc>
          <w:tcPr>
            <w:tcW w:w="9350" w:type="dxa"/>
          </w:tcPr>
          <w:p w14:paraId="4AC29A3E" w14:textId="77777777" w:rsidR="00FC7537" w:rsidRPr="00FC7537" w:rsidRDefault="00FC7537" w:rsidP="00FC7537">
            <w:pPr>
              <w:contextualSpacing/>
              <w:rPr>
                <w:rFonts w:ascii="Arial" w:hAnsi="Arial" w:cs="Arial"/>
                <w:color w:val="000000" w:themeColor="text1"/>
                <w:sz w:val="20"/>
                <w:szCs w:val="20"/>
              </w:rPr>
            </w:pPr>
            <w:r w:rsidRPr="00FC7537">
              <w:rPr>
                <w:rFonts w:ascii="Arial" w:hAnsi="Arial" w:cs="Arial"/>
                <w:color w:val="000000" w:themeColor="text1"/>
                <w:sz w:val="20"/>
                <w:szCs w:val="20"/>
              </w:rPr>
              <w:t>Midterm test (25%)</w:t>
            </w:r>
          </w:p>
          <w:p w14:paraId="26A4237A" w14:textId="77777777" w:rsidR="00FC7537" w:rsidRPr="00FC7537" w:rsidRDefault="00FC7537" w:rsidP="00FC7537">
            <w:pPr>
              <w:contextualSpacing/>
              <w:rPr>
                <w:rFonts w:ascii="Arial" w:hAnsi="Arial" w:cs="Arial"/>
                <w:color w:val="000000" w:themeColor="text1"/>
                <w:sz w:val="20"/>
                <w:szCs w:val="20"/>
              </w:rPr>
            </w:pPr>
            <w:r w:rsidRPr="00FC7537">
              <w:rPr>
                <w:rFonts w:ascii="Arial" w:hAnsi="Arial" w:cs="Arial"/>
                <w:color w:val="000000" w:themeColor="text1"/>
                <w:sz w:val="20"/>
                <w:szCs w:val="20"/>
              </w:rPr>
              <w:t>Independent Critical Review Paper (30%)</w:t>
            </w:r>
          </w:p>
          <w:p w14:paraId="3E0E7861" w14:textId="01F1C8D4" w:rsidR="00A9322C" w:rsidRPr="00B403DD" w:rsidRDefault="00FC7537" w:rsidP="00FC7537">
            <w:pPr>
              <w:contextualSpacing/>
              <w:rPr>
                <w:rFonts w:ascii="Arial" w:hAnsi="Arial" w:cs="Arial"/>
                <w:i/>
                <w:color w:val="000000" w:themeColor="text1"/>
                <w:sz w:val="20"/>
                <w:szCs w:val="20"/>
              </w:rPr>
            </w:pPr>
            <w:r w:rsidRPr="00FC7537">
              <w:rPr>
                <w:rFonts w:ascii="Arial" w:hAnsi="Arial" w:cs="Arial"/>
                <w:color w:val="000000" w:themeColor="text1"/>
                <w:sz w:val="20"/>
                <w:szCs w:val="20"/>
              </w:rPr>
              <w:t>Final exam (45%, cumulative) – during official exam period</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B403DD">
        <w:trPr>
          <w:trHeight w:val="1826"/>
        </w:trPr>
        <w:tc>
          <w:tcPr>
            <w:tcW w:w="9418" w:type="dxa"/>
          </w:tcPr>
          <w:p w14:paraId="0FB1C090" w14:textId="69ADD131" w:rsidR="0056515A" w:rsidRDefault="0056515A" w:rsidP="008B54B4">
            <w:pPr>
              <w:contextualSpacing/>
              <w:rPr>
                <w:rFonts w:ascii="Arial" w:hAnsi="Arial" w:cs="Arial"/>
                <w:color w:val="000000" w:themeColor="text1"/>
                <w:sz w:val="20"/>
                <w:szCs w:val="20"/>
              </w:rPr>
            </w:pPr>
            <w:r w:rsidRPr="0010288D">
              <w:rPr>
                <w:rFonts w:ascii="Arial" w:hAnsi="Arial" w:cs="Arial"/>
                <w:color w:val="000000" w:themeColor="text1"/>
                <w:sz w:val="20"/>
                <w:szCs w:val="20"/>
              </w:rPr>
              <w:t xml:space="preserve">Dates of Tests/Exams, Due Dates of Major Assignments, First class, last class, </w:t>
            </w:r>
            <w:r w:rsidR="0015524D">
              <w:rPr>
                <w:rFonts w:ascii="Arial" w:hAnsi="Arial" w:cs="Arial"/>
                <w:color w:val="000000" w:themeColor="text1"/>
                <w:sz w:val="20"/>
                <w:szCs w:val="20"/>
              </w:rPr>
              <w:t xml:space="preserve">last day to switch lab sections, </w:t>
            </w:r>
            <w:r w:rsidRPr="0010288D">
              <w:rPr>
                <w:rFonts w:ascii="Arial" w:hAnsi="Arial" w:cs="Arial"/>
                <w:color w:val="000000" w:themeColor="text1"/>
                <w:sz w:val="20"/>
                <w:szCs w:val="20"/>
              </w:rPr>
              <w:t>drop date, etc.</w:t>
            </w:r>
          </w:p>
          <w:p w14:paraId="58DB1CCC" w14:textId="77777777" w:rsidR="0015524D" w:rsidRPr="0010288D" w:rsidRDefault="0015524D" w:rsidP="008B54B4">
            <w:pPr>
              <w:contextualSpacing/>
              <w:rPr>
                <w:rFonts w:ascii="Arial" w:hAnsi="Arial" w:cs="Arial"/>
                <w:color w:val="000000" w:themeColor="text1"/>
                <w:sz w:val="20"/>
                <w:szCs w:val="20"/>
              </w:rPr>
            </w:pPr>
          </w:p>
          <w:p w14:paraId="31351FFE" w14:textId="1B92E194" w:rsidR="0056515A" w:rsidRPr="0015524D" w:rsidRDefault="0015524D" w:rsidP="008B54B4">
            <w:pPr>
              <w:contextualSpacing/>
              <w:rPr>
                <w:rFonts w:ascii="Arial" w:hAnsi="Arial" w:cs="Arial"/>
                <w:color w:val="000000" w:themeColor="text1"/>
                <w:sz w:val="20"/>
                <w:szCs w:val="20"/>
              </w:rPr>
            </w:pPr>
            <w:r w:rsidRPr="0015524D">
              <w:rPr>
                <w:rFonts w:ascii="Arial" w:hAnsi="Arial" w:cs="Arial"/>
                <w:b/>
                <w:color w:val="000000" w:themeColor="text1"/>
                <w:sz w:val="20"/>
                <w:szCs w:val="20"/>
              </w:rPr>
              <w:t xml:space="preserve">Drop Deadline: </w:t>
            </w:r>
            <w:r w:rsidRPr="0015524D">
              <w:rPr>
                <w:rFonts w:ascii="Arial" w:hAnsi="Arial" w:cs="Arial"/>
                <w:color w:val="000000" w:themeColor="text1"/>
                <w:sz w:val="20"/>
                <w:szCs w:val="20"/>
              </w:rPr>
              <w:t xml:space="preserve">    Nov. </w:t>
            </w:r>
            <w:r w:rsidR="003541C2">
              <w:rPr>
                <w:rFonts w:ascii="Arial" w:hAnsi="Arial" w:cs="Arial"/>
                <w:color w:val="000000" w:themeColor="text1"/>
                <w:sz w:val="20"/>
                <w:szCs w:val="20"/>
              </w:rPr>
              <w:t>12</w:t>
            </w:r>
            <w:r w:rsidRPr="0015524D">
              <w:rPr>
                <w:rFonts w:ascii="Arial" w:hAnsi="Arial" w:cs="Arial"/>
                <w:color w:val="000000" w:themeColor="text1"/>
                <w:sz w:val="20"/>
                <w:szCs w:val="20"/>
              </w:rPr>
              <w:t>, 20</w:t>
            </w:r>
            <w:r w:rsidR="00205570">
              <w:rPr>
                <w:rFonts w:ascii="Arial" w:hAnsi="Arial" w:cs="Arial"/>
                <w:color w:val="000000" w:themeColor="text1"/>
                <w:sz w:val="20"/>
                <w:szCs w:val="20"/>
              </w:rPr>
              <w:t>2</w:t>
            </w:r>
            <w:r w:rsidR="003541C2">
              <w:rPr>
                <w:rFonts w:ascii="Arial" w:hAnsi="Arial" w:cs="Arial"/>
                <w:color w:val="000000" w:themeColor="text1"/>
                <w:sz w:val="20"/>
                <w:szCs w:val="20"/>
              </w:rPr>
              <w:t>1</w:t>
            </w:r>
            <w:r w:rsidRPr="0015524D">
              <w:rPr>
                <w:rFonts w:ascii="Arial" w:hAnsi="Arial" w:cs="Arial"/>
                <w:color w:val="000000" w:themeColor="text1"/>
                <w:sz w:val="20"/>
                <w:szCs w:val="20"/>
              </w:rPr>
              <w:t xml:space="preserve"> (last day to drop without course on transcript)</w:t>
            </w:r>
          </w:p>
          <w:p w14:paraId="62F5EFF5" w14:textId="1058BD20" w:rsidR="0015524D" w:rsidRPr="0015524D" w:rsidRDefault="0015524D" w:rsidP="008B54B4">
            <w:pPr>
              <w:contextualSpacing/>
              <w:rPr>
                <w:rFonts w:ascii="Arial" w:hAnsi="Arial" w:cs="Arial"/>
                <w:color w:val="000000" w:themeColor="text1"/>
                <w:sz w:val="20"/>
                <w:szCs w:val="20"/>
              </w:rPr>
            </w:pPr>
          </w:p>
          <w:p w14:paraId="2E7CCEDF" w14:textId="77777777" w:rsidR="005833E0" w:rsidRPr="0015524D" w:rsidRDefault="005833E0" w:rsidP="0056515A">
            <w:pPr>
              <w:autoSpaceDE w:val="0"/>
              <w:autoSpaceDN w:val="0"/>
              <w:adjustRightInd w:val="0"/>
              <w:rPr>
                <w:rFonts w:ascii="Arial" w:hAnsi="Arial" w:cs="Arial"/>
                <w:color w:val="000000" w:themeColor="text1"/>
                <w:sz w:val="20"/>
                <w:szCs w:val="20"/>
              </w:rPr>
            </w:pPr>
          </w:p>
          <w:p w14:paraId="03C5672A" w14:textId="599D25DF" w:rsidR="0056515A" w:rsidRPr="00B403DD" w:rsidRDefault="0056515A" w:rsidP="00B403DD">
            <w:pPr>
              <w:autoSpaceDE w:val="0"/>
              <w:autoSpaceDN w:val="0"/>
              <w:adjustRightInd w:val="0"/>
              <w:rPr>
                <w:rFonts w:ascii="Arial" w:hAnsi="Arial" w:cs="Arial"/>
                <w:color w:val="000000" w:themeColor="text1"/>
                <w:sz w:val="18"/>
                <w:szCs w:val="18"/>
              </w:rPr>
            </w:pPr>
            <w:r w:rsidRPr="00B403DD">
              <w:rPr>
                <w:rFonts w:ascii="Arial" w:hAnsi="Arial" w:cs="Arial"/>
                <w:color w:val="000000" w:themeColor="text1"/>
                <w:sz w:val="18"/>
                <w:szCs w:val="18"/>
              </w:rPr>
              <w:t>NOTE</w:t>
            </w:r>
            <w:r w:rsidR="00B403DD" w:rsidRPr="00B403DD">
              <w:rPr>
                <w:rFonts w:ascii="Arial" w:hAnsi="Arial" w:cs="Arial"/>
                <w:color w:val="000000" w:themeColor="text1"/>
                <w:sz w:val="18"/>
                <w:szCs w:val="18"/>
              </w:rPr>
              <w:t xml:space="preserve"> for instructors</w:t>
            </w:r>
            <w:r w:rsidRPr="00B403DD">
              <w:rPr>
                <w:rFonts w:ascii="Arial" w:hAnsi="Arial" w:cs="Arial"/>
                <w:color w:val="000000" w:themeColor="text1"/>
                <w:sz w:val="18"/>
                <w:szCs w:val="18"/>
              </w:rPr>
              <w:t>: for additional important dates such as holidays, refer to the “Important Dates” section of the Registrar’s Website at http://www.yorku.ca/yorkweb/cs.htm</w:t>
            </w: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32BAA17B"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Primary and secondary research articles</w:t>
            </w:r>
          </w:p>
          <w:p w14:paraId="3CD1B33E"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Moodle:  https://moodle.yorku.ca</w:t>
            </w:r>
          </w:p>
          <w:p w14:paraId="53D616E8" w14:textId="77777777" w:rsidR="00FC7537" w:rsidRPr="00FC7537" w:rsidRDefault="00FC7537" w:rsidP="00FC7537">
            <w:pPr>
              <w:autoSpaceDE w:val="0"/>
              <w:autoSpaceDN w:val="0"/>
              <w:adjustRightInd w:val="0"/>
              <w:rPr>
                <w:rFonts w:ascii="Arial" w:hAnsi="Arial" w:cs="Arial"/>
                <w:color w:val="000000" w:themeColor="text1"/>
                <w:sz w:val="20"/>
                <w:szCs w:val="20"/>
              </w:rPr>
            </w:pPr>
          </w:p>
          <w:p w14:paraId="5739A3C3"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Additional subjects for discussion may be derived from the virology-related websites:</w:t>
            </w:r>
          </w:p>
          <w:p w14:paraId="594C55BE"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“This Week In Virology” (TWIV)</w:t>
            </w:r>
          </w:p>
          <w:p w14:paraId="6082350F"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 xml:space="preserve"> http://www.twiv.tv/</w:t>
            </w:r>
          </w:p>
          <w:p w14:paraId="7E3A74E2" w14:textId="77777777" w:rsidR="00FC7537" w:rsidRPr="00FC7537" w:rsidRDefault="00FC7537" w:rsidP="00FC7537">
            <w:pPr>
              <w:autoSpaceDE w:val="0"/>
              <w:autoSpaceDN w:val="0"/>
              <w:adjustRightInd w:val="0"/>
              <w:rPr>
                <w:rFonts w:ascii="Arial" w:hAnsi="Arial" w:cs="Arial"/>
                <w:color w:val="000000" w:themeColor="text1"/>
                <w:sz w:val="20"/>
                <w:szCs w:val="20"/>
              </w:rPr>
            </w:pPr>
          </w:p>
          <w:p w14:paraId="23A30CA5"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“Virology Blog”</w:t>
            </w:r>
          </w:p>
          <w:p w14:paraId="4128EA3C"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http://www.virology.ws</w:t>
            </w:r>
          </w:p>
          <w:p w14:paraId="34785524" w14:textId="40CA7F34" w:rsidR="006B19D3" w:rsidRPr="00713B46" w:rsidRDefault="006B19D3" w:rsidP="00FC7537">
            <w:pPr>
              <w:autoSpaceDE w:val="0"/>
              <w:autoSpaceDN w:val="0"/>
              <w:adjustRightInd w:val="0"/>
              <w:rPr>
                <w:rFonts w:ascii="Arial" w:hAnsi="Arial" w:cs="Arial"/>
                <w:color w:val="000000"/>
                <w:sz w:val="20"/>
                <w:szCs w:val="20"/>
              </w:rPr>
            </w:pP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5000" w:type="pct"/>
        <w:tblBorders>
          <w:insideV w:val="single" w:sz="4" w:space="0" w:color="FF0000"/>
        </w:tblBorders>
        <w:tblLook w:val="04A0" w:firstRow="1" w:lastRow="0" w:firstColumn="1" w:lastColumn="0" w:noHBand="0" w:noVBand="1"/>
      </w:tblPr>
      <w:tblGrid>
        <w:gridCol w:w="9350"/>
      </w:tblGrid>
      <w:tr w:rsidR="006B19D3" w:rsidRPr="00077C01" w14:paraId="4D3EAB06" w14:textId="77777777" w:rsidTr="007C6F0B">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7C6F0B">
        <w:trPr>
          <w:trHeight w:val="1584"/>
        </w:trPr>
        <w:tc>
          <w:tcPr>
            <w:tcW w:w="5000" w:type="pct"/>
          </w:tcPr>
          <w:p w14:paraId="6E4F8890" w14:textId="2D610DA0"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Upon successful completion of this course, students should be able to</w:t>
            </w:r>
          </w:p>
          <w:p w14:paraId="7C36FE29"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1.  Explain the molecular strategies used by viruses and their hosts to protect themselves from each other</w:t>
            </w:r>
          </w:p>
          <w:p w14:paraId="64C162DA"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2.  Describe the mechanisms of action and effectiveness of new antiviral strategies</w:t>
            </w:r>
          </w:p>
          <w:p w14:paraId="69FA3E0D"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3.  Provide details on the functions of cellular proteins misappropriated by viruses and the various screens used to identify them</w:t>
            </w:r>
          </w:p>
          <w:p w14:paraId="402B7867"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4.  Outline different experimental strategies used to identify new and emerging viruses and understand their threat levels and potential host targets</w:t>
            </w:r>
          </w:p>
          <w:p w14:paraId="5EB6CEAC"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5.  List different ways that viruses are being used to perform useful functions for society</w:t>
            </w:r>
          </w:p>
          <w:p w14:paraId="262392B9"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6.  Critically evaluate recent controversies in virology and provide an opinion based on available experimental evidence</w:t>
            </w:r>
          </w:p>
          <w:p w14:paraId="3DC08ECF"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7.  Appreciate the close and interdependent relationship between applied and basic research</w:t>
            </w:r>
          </w:p>
          <w:p w14:paraId="1F337F9B"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 xml:space="preserve">8.  Understand cutting-edge experimental approaches used in virology research </w:t>
            </w:r>
          </w:p>
          <w:p w14:paraId="15B32013"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9.  Critically evaluate experimental design</w:t>
            </w:r>
          </w:p>
          <w:p w14:paraId="13E22650"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10. Assess experimental results and propose improvements to existing methodology</w:t>
            </w:r>
          </w:p>
          <w:p w14:paraId="65E48162"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11. Determine the validity of conclusions drawn based on data</w:t>
            </w:r>
          </w:p>
          <w:p w14:paraId="0A4480E5"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 xml:space="preserve">12. Apply techniques learned to answer new/different questions </w:t>
            </w:r>
          </w:p>
          <w:p w14:paraId="01118113"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 xml:space="preserve">13. Provide defensible justifications for answers </w:t>
            </w:r>
          </w:p>
          <w:p w14:paraId="17916C01" w14:textId="77777777" w:rsidR="00FC7537" w:rsidRPr="00FC7537" w:rsidRDefault="00FC7537" w:rsidP="00FC7537">
            <w:pPr>
              <w:autoSpaceDE w:val="0"/>
              <w:autoSpaceDN w:val="0"/>
              <w:adjustRightInd w:val="0"/>
              <w:rPr>
                <w:rFonts w:ascii="Arial" w:hAnsi="Arial" w:cs="Arial"/>
                <w:color w:val="000000" w:themeColor="text1"/>
                <w:sz w:val="20"/>
                <w:szCs w:val="20"/>
              </w:rPr>
            </w:pPr>
            <w:r w:rsidRPr="00FC7537">
              <w:rPr>
                <w:rFonts w:ascii="Arial" w:hAnsi="Arial" w:cs="Arial"/>
                <w:color w:val="000000" w:themeColor="text1"/>
                <w:sz w:val="20"/>
                <w:szCs w:val="20"/>
              </w:rPr>
              <w:t>14. Clearly convey scientific opinion and ideas verbally and in writing</w:t>
            </w:r>
          </w:p>
          <w:p w14:paraId="0E75376D" w14:textId="40E91B63" w:rsidR="007C6F0B" w:rsidRPr="008B54B4" w:rsidRDefault="00FC7537" w:rsidP="00FC7537">
            <w:pPr>
              <w:autoSpaceDE w:val="0"/>
              <w:autoSpaceDN w:val="0"/>
              <w:adjustRightInd w:val="0"/>
              <w:rPr>
                <w:rFonts w:ascii="Arial" w:hAnsi="Arial" w:cs="Arial"/>
                <w:color w:val="FF0000"/>
                <w:sz w:val="20"/>
                <w:szCs w:val="20"/>
              </w:rPr>
            </w:pPr>
            <w:r w:rsidRPr="00FC7537">
              <w:rPr>
                <w:rFonts w:ascii="Arial" w:hAnsi="Arial" w:cs="Arial"/>
                <w:color w:val="000000" w:themeColor="text1"/>
                <w:sz w:val="20"/>
                <w:szCs w:val="20"/>
              </w:rPr>
              <w:t>15. Utilize web-based virology resources</w:t>
            </w:r>
          </w:p>
        </w:tc>
      </w:tr>
    </w:tbl>
    <w:p w14:paraId="2F2AEEDF" w14:textId="44F34C5E" w:rsidR="009250D9" w:rsidRPr="00547C44" w:rsidRDefault="009250D9" w:rsidP="00547C44">
      <w:pPr>
        <w:spacing w:after="0"/>
        <w:contextualSpacing/>
        <w:rPr>
          <w:sz w:val="24"/>
        </w:rPr>
      </w:pPr>
    </w:p>
    <w:tbl>
      <w:tblPr>
        <w:tblStyle w:val="TableGrid"/>
        <w:tblW w:w="9351" w:type="dxa"/>
        <w:tblLook w:val="04A0" w:firstRow="1" w:lastRow="0" w:firstColumn="1" w:lastColumn="0" w:noHBand="0" w:noVBand="1"/>
      </w:tblPr>
      <w:tblGrid>
        <w:gridCol w:w="9351"/>
      </w:tblGrid>
      <w:tr w:rsidR="006B19D3" w:rsidRPr="00077C01" w14:paraId="22C1AE6D" w14:textId="77777777" w:rsidTr="007C6F0B">
        <w:tc>
          <w:tcPr>
            <w:tcW w:w="9351"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2903F0">
        <w:trPr>
          <w:trHeight w:val="5575"/>
        </w:trPr>
        <w:tc>
          <w:tcPr>
            <w:tcW w:w="9351" w:type="dxa"/>
            <w:shd w:val="clear" w:color="auto" w:fill="auto"/>
          </w:tcPr>
          <w:p w14:paraId="68DDD5C1" w14:textId="77777777" w:rsidR="00FC7537" w:rsidRDefault="00FC7537" w:rsidP="00FC7537">
            <w:pPr>
              <w:autoSpaceDE w:val="0"/>
              <w:autoSpaceDN w:val="0"/>
              <w:adjustRightInd w:val="0"/>
              <w:rPr>
                <w:rFonts w:ascii="Arial" w:hAnsi="Arial" w:cs="Arial"/>
                <w:color w:val="000000" w:themeColor="text1"/>
                <w:sz w:val="24"/>
                <w:szCs w:val="24"/>
              </w:rPr>
            </w:pPr>
          </w:p>
          <w:p w14:paraId="3D250D6B" w14:textId="273CF709" w:rsidR="00FC7537" w:rsidRPr="00A03BC5" w:rsidRDefault="00FC7537" w:rsidP="00FC7537">
            <w:pPr>
              <w:autoSpaceDE w:val="0"/>
              <w:autoSpaceDN w:val="0"/>
              <w:adjustRightInd w:val="0"/>
              <w:rPr>
                <w:rFonts w:ascii="Arial" w:hAnsi="Arial" w:cs="Arial"/>
                <w:b/>
                <w:color w:val="000000" w:themeColor="text1"/>
                <w:sz w:val="20"/>
                <w:szCs w:val="20"/>
              </w:rPr>
            </w:pPr>
            <w:r w:rsidRPr="00A03BC5">
              <w:rPr>
                <w:rFonts w:ascii="Arial" w:hAnsi="Arial" w:cs="Arial"/>
                <w:b/>
                <w:color w:val="000000" w:themeColor="text1"/>
                <w:sz w:val="20"/>
                <w:szCs w:val="20"/>
              </w:rPr>
              <w:t>SELECTED TOPICS WILL BE CHOSEN FROM THOSE LISTED BELOW:</w:t>
            </w:r>
          </w:p>
          <w:p w14:paraId="4B1C66BB" w14:textId="77777777" w:rsidR="00FC7537" w:rsidRPr="00A03BC5" w:rsidRDefault="00FC7537" w:rsidP="00FC7537">
            <w:pPr>
              <w:autoSpaceDE w:val="0"/>
              <w:autoSpaceDN w:val="0"/>
              <w:adjustRightInd w:val="0"/>
              <w:rPr>
                <w:rFonts w:ascii="Arial" w:hAnsi="Arial" w:cs="Arial"/>
                <w:color w:val="000000" w:themeColor="text1"/>
                <w:sz w:val="20"/>
                <w:szCs w:val="20"/>
              </w:rPr>
            </w:pPr>
          </w:p>
          <w:p w14:paraId="1B9E01C8"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b/>
                <w:color w:val="000000" w:themeColor="text1"/>
                <w:sz w:val="20"/>
                <w:szCs w:val="20"/>
              </w:rPr>
              <w:t>Cellular antiviral defense systems:</w:t>
            </w:r>
            <w:r w:rsidRPr="00A03BC5">
              <w:rPr>
                <w:rFonts w:ascii="Arial" w:hAnsi="Arial" w:cs="Arial"/>
                <w:color w:val="000000" w:themeColor="text1"/>
                <w:sz w:val="20"/>
                <w:szCs w:val="20"/>
              </w:rPr>
              <w:t xml:space="preserve"> how animals, plants and bacteria protect themselves   e.g. innate immunity, gene silencing, CRISPR</w:t>
            </w:r>
          </w:p>
          <w:p w14:paraId="17B71413" w14:textId="77777777" w:rsidR="00FC7537" w:rsidRPr="00A03BC5" w:rsidRDefault="00FC7537" w:rsidP="00FC7537">
            <w:pPr>
              <w:autoSpaceDE w:val="0"/>
              <w:autoSpaceDN w:val="0"/>
              <w:adjustRightInd w:val="0"/>
              <w:rPr>
                <w:rFonts w:ascii="Arial" w:hAnsi="Arial" w:cs="Arial"/>
                <w:color w:val="000000" w:themeColor="text1"/>
                <w:sz w:val="20"/>
                <w:szCs w:val="20"/>
              </w:rPr>
            </w:pPr>
          </w:p>
          <w:p w14:paraId="6589DC24"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b/>
                <w:color w:val="000000" w:themeColor="text1"/>
                <w:sz w:val="20"/>
                <w:szCs w:val="20"/>
              </w:rPr>
              <w:t>Viral counter-defense strategies:</w:t>
            </w:r>
            <w:r w:rsidRPr="00A03BC5">
              <w:rPr>
                <w:rFonts w:ascii="Arial" w:hAnsi="Arial" w:cs="Arial"/>
                <w:color w:val="000000" w:themeColor="text1"/>
                <w:sz w:val="20"/>
                <w:szCs w:val="20"/>
              </w:rPr>
              <w:t xml:space="preserve"> how viruses fight back</w:t>
            </w:r>
          </w:p>
          <w:p w14:paraId="74CF369A"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color w:val="000000" w:themeColor="text1"/>
                <w:sz w:val="20"/>
                <w:szCs w:val="20"/>
              </w:rPr>
              <w:t>e.g. viral inhibitors of: innate immunity, gene silencing, CRISPR</w:t>
            </w:r>
          </w:p>
          <w:p w14:paraId="4C6EB6DE" w14:textId="77777777" w:rsidR="00FC7537" w:rsidRPr="00A03BC5" w:rsidRDefault="00FC7537" w:rsidP="00FC7537">
            <w:pPr>
              <w:autoSpaceDE w:val="0"/>
              <w:autoSpaceDN w:val="0"/>
              <w:adjustRightInd w:val="0"/>
              <w:rPr>
                <w:rFonts w:ascii="Arial" w:hAnsi="Arial" w:cs="Arial"/>
                <w:color w:val="000000" w:themeColor="text1"/>
                <w:sz w:val="20"/>
                <w:szCs w:val="20"/>
              </w:rPr>
            </w:pPr>
          </w:p>
          <w:p w14:paraId="4E6A457A"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b/>
                <w:color w:val="000000" w:themeColor="text1"/>
                <w:sz w:val="20"/>
                <w:szCs w:val="20"/>
              </w:rPr>
              <w:t>Novel antiviral treatments:</w:t>
            </w:r>
            <w:r w:rsidRPr="00A03BC5">
              <w:rPr>
                <w:rFonts w:ascii="Arial" w:hAnsi="Arial" w:cs="Arial"/>
                <w:color w:val="000000" w:themeColor="text1"/>
                <w:sz w:val="20"/>
                <w:szCs w:val="20"/>
              </w:rPr>
              <w:t xml:space="preserve"> drugs vs. gene therapy </w:t>
            </w:r>
          </w:p>
          <w:p w14:paraId="5DF84990"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color w:val="000000" w:themeColor="text1"/>
                <w:sz w:val="20"/>
                <w:szCs w:val="20"/>
              </w:rPr>
              <w:t>e.g. antiviral: novel drugs, RNAi, cell replacement, plant genetic engineering</w:t>
            </w:r>
          </w:p>
          <w:p w14:paraId="192AF6E7" w14:textId="77777777" w:rsidR="00FC7537" w:rsidRPr="00A03BC5" w:rsidRDefault="00FC7537" w:rsidP="00FC7537">
            <w:pPr>
              <w:autoSpaceDE w:val="0"/>
              <w:autoSpaceDN w:val="0"/>
              <w:adjustRightInd w:val="0"/>
              <w:rPr>
                <w:rFonts w:ascii="Arial" w:hAnsi="Arial" w:cs="Arial"/>
                <w:color w:val="000000" w:themeColor="text1"/>
                <w:sz w:val="20"/>
                <w:szCs w:val="20"/>
              </w:rPr>
            </w:pPr>
          </w:p>
          <w:p w14:paraId="204EAA60" w14:textId="105A32CF"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b/>
                <w:color w:val="000000" w:themeColor="text1"/>
                <w:sz w:val="20"/>
                <w:szCs w:val="20"/>
              </w:rPr>
              <w:t>Ebola virus:</w:t>
            </w:r>
            <w:r w:rsidRPr="00A03BC5">
              <w:rPr>
                <w:rFonts w:ascii="Arial" w:hAnsi="Arial" w:cs="Arial"/>
                <w:color w:val="000000" w:themeColor="text1"/>
                <w:sz w:val="20"/>
                <w:szCs w:val="20"/>
              </w:rPr>
              <w:t xml:space="preserve"> a</w:t>
            </w:r>
            <w:r w:rsidR="00CC0596">
              <w:rPr>
                <w:rFonts w:ascii="Arial" w:hAnsi="Arial" w:cs="Arial"/>
                <w:color w:val="000000" w:themeColor="text1"/>
                <w:sz w:val="20"/>
                <w:szCs w:val="20"/>
              </w:rPr>
              <w:t>n</w:t>
            </w:r>
            <w:r w:rsidRPr="00A03BC5">
              <w:rPr>
                <w:rFonts w:ascii="Arial" w:hAnsi="Arial" w:cs="Arial"/>
                <w:color w:val="000000" w:themeColor="text1"/>
                <w:sz w:val="20"/>
                <w:szCs w:val="20"/>
              </w:rPr>
              <w:t xml:space="preserve"> </w:t>
            </w:r>
            <w:r w:rsidR="00CC0596">
              <w:rPr>
                <w:rFonts w:ascii="Arial" w:hAnsi="Arial" w:cs="Arial"/>
                <w:color w:val="000000" w:themeColor="text1"/>
                <w:sz w:val="20"/>
                <w:szCs w:val="20"/>
              </w:rPr>
              <w:t>existing</w:t>
            </w:r>
            <w:r w:rsidRPr="00A03BC5">
              <w:rPr>
                <w:rFonts w:ascii="Arial" w:hAnsi="Arial" w:cs="Arial"/>
                <w:color w:val="000000" w:themeColor="text1"/>
                <w:sz w:val="20"/>
                <w:szCs w:val="20"/>
              </w:rPr>
              <w:t xml:space="preserve"> </w:t>
            </w:r>
            <w:r w:rsidR="007A70EE">
              <w:rPr>
                <w:rFonts w:ascii="Arial" w:hAnsi="Arial" w:cs="Arial"/>
                <w:color w:val="000000" w:themeColor="text1"/>
                <w:sz w:val="20"/>
                <w:szCs w:val="20"/>
              </w:rPr>
              <w:t>threat</w:t>
            </w:r>
            <w:r w:rsidRPr="00A03BC5">
              <w:rPr>
                <w:rFonts w:ascii="Arial" w:hAnsi="Arial" w:cs="Arial"/>
                <w:color w:val="000000" w:themeColor="text1"/>
                <w:sz w:val="20"/>
                <w:szCs w:val="20"/>
              </w:rPr>
              <w:t xml:space="preserve"> </w:t>
            </w:r>
          </w:p>
          <w:p w14:paraId="04EAF008"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color w:val="000000" w:themeColor="text1"/>
                <w:sz w:val="20"/>
                <w:szCs w:val="20"/>
              </w:rPr>
              <w:t xml:space="preserve"> e.g. intro. to virus &amp; lifecycle, origin of epidemic, spread, containment, treatment, etc.</w:t>
            </w:r>
          </w:p>
          <w:p w14:paraId="77E4FEC6" w14:textId="77777777" w:rsidR="00FC7537" w:rsidRPr="00A03BC5" w:rsidRDefault="00FC7537" w:rsidP="00FC7537">
            <w:pPr>
              <w:autoSpaceDE w:val="0"/>
              <w:autoSpaceDN w:val="0"/>
              <w:adjustRightInd w:val="0"/>
              <w:rPr>
                <w:rFonts w:ascii="Arial" w:hAnsi="Arial" w:cs="Arial"/>
                <w:color w:val="000000" w:themeColor="text1"/>
                <w:sz w:val="20"/>
                <w:szCs w:val="20"/>
              </w:rPr>
            </w:pPr>
          </w:p>
          <w:p w14:paraId="4C74EE94" w14:textId="0A2B85A0" w:rsidR="000463E1" w:rsidRDefault="000463E1" w:rsidP="00FC7537">
            <w:pPr>
              <w:autoSpaceDE w:val="0"/>
              <w:autoSpaceDN w:val="0"/>
              <w:adjustRightInd w:val="0"/>
              <w:rPr>
                <w:rFonts w:ascii="Arial" w:hAnsi="Arial" w:cs="Arial"/>
                <w:bCs/>
                <w:color w:val="000000" w:themeColor="text1"/>
                <w:sz w:val="20"/>
                <w:szCs w:val="20"/>
              </w:rPr>
            </w:pPr>
            <w:r>
              <w:rPr>
                <w:rFonts w:ascii="Arial" w:hAnsi="Arial" w:cs="Arial"/>
                <w:b/>
                <w:color w:val="000000" w:themeColor="text1"/>
                <w:sz w:val="20"/>
                <w:szCs w:val="20"/>
              </w:rPr>
              <w:t xml:space="preserve">COVID-19: </w:t>
            </w:r>
            <w:r w:rsidRPr="000463E1">
              <w:rPr>
                <w:rFonts w:ascii="Arial" w:hAnsi="Arial" w:cs="Arial"/>
                <w:bCs/>
                <w:color w:val="000000" w:themeColor="text1"/>
                <w:sz w:val="20"/>
                <w:szCs w:val="20"/>
              </w:rPr>
              <w:t>a current threat</w:t>
            </w:r>
          </w:p>
          <w:p w14:paraId="42B1F768" w14:textId="04F046EC" w:rsidR="000463E1" w:rsidRPr="000463E1" w:rsidRDefault="000463E1" w:rsidP="00FC7537">
            <w:pPr>
              <w:autoSpaceDE w:val="0"/>
              <w:autoSpaceDN w:val="0"/>
              <w:adjustRightInd w:val="0"/>
              <w:rPr>
                <w:rFonts w:ascii="Arial" w:hAnsi="Arial" w:cs="Arial"/>
                <w:color w:val="000000" w:themeColor="text1"/>
                <w:sz w:val="20"/>
                <w:szCs w:val="20"/>
              </w:rPr>
            </w:pPr>
            <w:r w:rsidRPr="000463E1">
              <w:rPr>
                <w:rFonts w:ascii="Arial" w:hAnsi="Arial" w:cs="Arial"/>
                <w:color w:val="000000" w:themeColor="text1"/>
                <w:sz w:val="20"/>
                <w:szCs w:val="20"/>
              </w:rPr>
              <w:t xml:space="preserve">e.g. </w:t>
            </w:r>
            <w:r>
              <w:rPr>
                <w:rFonts w:ascii="Arial" w:hAnsi="Arial" w:cs="Arial"/>
                <w:color w:val="000000" w:themeColor="text1"/>
                <w:sz w:val="20"/>
                <w:szCs w:val="20"/>
              </w:rPr>
              <w:t>coronavirus biology, Cov-2 pathogenesis, vaccine production</w:t>
            </w:r>
          </w:p>
          <w:p w14:paraId="16F97A28" w14:textId="77777777" w:rsidR="000463E1" w:rsidRDefault="000463E1" w:rsidP="00FC7537">
            <w:pPr>
              <w:autoSpaceDE w:val="0"/>
              <w:autoSpaceDN w:val="0"/>
              <w:adjustRightInd w:val="0"/>
              <w:rPr>
                <w:rFonts w:ascii="Arial" w:hAnsi="Arial" w:cs="Arial"/>
                <w:b/>
                <w:color w:val="000000" w:themeColor="text1"/>
                <w:sz w:val="20"/>
                <w:szCs w:val="20"/>
              </w:rPr>
            </w:pPr>
          </w:p>
          <w:p w14:paraId="270EEEC3" w14:textId="3CF17A9C"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b/>
                <w:color w:val="000000" w:themeColor="text1"/>
                <w:sz w:val="20"/>
                <w:szCs w:val="20"/>
              </w:rPr>
              <w:t>Viral host factors:</w:t>
            </w:r>
            <w:r w:rsidRPr="00A03BC5">
              <w:rPr>
                <w:rFonts w:ascii="Arial" w:hAnsi="Arial" w:cs="Arial"/>
                <w:color w:val="000000" w:themeColor="text1"/>
                <w:sz w:val="20"/>
                <w:szCs w:val="20"/>
              </w:rPr>
              <w:t xml:space="preserve"> the missing half of our knowledge  </w:t>
            </w:r>
          </w:p>
          <w:p w14:paraId="02EA79FF"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color w:val="000000" w:themeColor="text1"/>
                <w:sz w:val="20"/>
                <w:szCs w:val="20"/>
              </w:rPr>
              <w:t>e.g. RNAi screens to identify viral host factors, surrogate yeast systems for genetic screens</w:t>
            </w:r>
          </w:p>
          <w:p w14:paraId="7856E63A" w14:textId="77777777" w:rsidR="00FC7537" w:rsidRPr="00A03BC5" w:rsidRDefault="00FC7537" w:rsidP="00FC7537">
            <w:pPr>
              <w:autoSpaceDE w:val="0"/>
              <w:autoSpaceDN w:val="0"/>
              <w:adjustRightInd w:val="0"/>
              <w:rPr>
                <w:rFonts w:ascii="Arial" w:hAnsi="Arial" w:cs="Arial"/>
                <w:color w:val="000000" w:themeColor="text1"/>
                <w:sz w:val="20"/>
                <w:szCs w:val="20"/>
              </w:rPr>
            </w:pPr>
          </w:p>
          <w:p w14:paraId="38CB40ED"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b/>
                <w:color w:val="000000" w:themeColor="text1"/>
                <w:sz w:val="20"/>
                <w:szCs w:val="20"/>
              </w:rPr>
              <w:t>Virus hunting:</w:t>
            </w:r>
            <w:r w:rsidRPr="00A03BC5">
              <w:rPr>
                <w:rFonts w:ascii="Arial" w:hAnsi="Arial" w:cs="Arial"/>
                <w:color w:val="000000" w:themeColor="text1"/>
                <w:sz w:val="20"/>
                <w:szCs w:val="20"/>
              </w:rPr>
              <w:t xml:space="preserve"> searching for new viruses and potential threats  </w:t>
            </w:r>
          </w:p>
          <w:p w14:paraId="68868642"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color w:val="000000" w:themeColor="text1"/>
                <w:sz w:val="20"/>
                <w:szCs w:val="20"/>
              </w:rPr>
              <w:t>e.g. deep sequencing, viral metagenomic analyses, potential viral threats to plants &amp; animals</w:t>
            </w:r>
          </w:p>
          <w:p w14:paraId="0BD97ABB" w14:textId="77777777" w:rsidR="00FC7537" w:rsidRPr="00A03BC5" w:rsidRDefault="00FC7537" w:rsidP="00FC7537">
            <w:pPr>
              <w:autoSpaceDE w:val="0"/>
              <w:autoSpaceDN w:val="0"/>
              <w:adjustRightInd w:val="0"/>
              <w:rPr>
                <w:rFonts w:ascii="Arial" w:hAnsi="Arial" w:cs="Arial"/>
                <w:color w:val="000000" w:themeColor="text1"/>
                <w:sz w:val="20"/>
                <w:szCs w:val="20"/>
              </w:rPr>
            </w:pPr>
          </w:p>
          <w:p w14:paraId="314608DD" w14:textId="77777777" w:rsidR="00FC7537" w:rsidRPr="00A03BC5" w:rsidRDefault="00FC7537" w:rsidP="00FC7537">
            <w:pPr>
              <w:autoSpaceDE w:val="0"/>
              <w:autoSpaceDN w:val="0"/>
              <w:adjustRightInd w:val="0"/>
              <w:rPr>
                <w:rFonts w:ascii="Arial" w:hAnsi="Arial" w:cs="Arial"/>
                <w:color w:val="000000" w:themeColor="text1"/>
                <w:sz w:val="20"/>
                <w:szCs w:val="20"/>
              </w:rPr>
            </w:pPr>
            <w:r w:rsidRPr="00A03BC5">
              <w:rPr>
                <w:rFonts w:ascii="Arial" w:hAnsi="Arial" w:cs="Arial"/>
                <w:b/>
                <w:color w:val="000000" w:themeColor="text1"/>
                <w:sz w:val="20"/>
                <w:szCs w:val="20"/>
              </w:rPr>
              <w:t>Good virus:</w:t>
            </w:r>
            <w:r w:rsidRPr="00A03BC5">
              <w:rPr>
                <w:rFonts w:ascii="Arial" w:hAnsi="Arial" w:cs="Arial"/>
                <w:color w:val="000000" w:themeColor="text1"/>
                <w:sz w:val="20"/>
                <w:szCs w:val="20"/>
              </w:rPr>
              <w:t xml:space="preserve"> beneficial uses of viruses  </w:t>
            </w:r>
          </w:p>
          <w:p w14:paraId="5E9EC062" w14:textId="66CED136" w:rsidR="00E535A7" w:rsidRPr="0010288D" w:rsidRDefault="00FC7537" w:rsidP="00FC7537">
            <w:pPr>
              <w:autoSpaceDE w:val="0"/>
              <w:autoSpaceDN w:val="0"/>
              <w:adjustRightInd w:val="0"/>
              <w:rPr>
                <w:rFonts w:ascii="Arial" w:hAnsi="Arial" w:cs="Arial"/>
                <w:color w:val="000000" w:themeColor="text1"/>
                <w:sz w:val="24"/>
                <w:szCs w:val="24"/>
              </w:rPr>
            </w:pPr>
            <w:r w:rsidRPr="00A03BC5">
              <w:rPr>
                <w:rFonts w:ascii="Arial" w:hAnsi="Arial" w:cs="Arial"/>
                <w:color w:val="000000" w:themeColor="text1"/>
                <w:sz w:val="20"/>
                <w:szCs w:val="20"/>
              </w:rPr>
              <w:t>e.g. viral vectors, viral nanoparticles, fighting cancer with viruses</w:t>
            </w: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FC7537">
        <w:trPr>
          <w:trHeight w:val="70"/>
        </w:trPr>
        <w:tc>
          <w:tcPr>
            <w:tcW w:w="9411" w:type="dxa"/>
          </w:tcPr>
          <w:p w14:paraId="6CC130DA" w14:textId="4384A03A" w:rsidR="004F6039" w:rsidRPr="00A91B93" w:rsidRDefault="004F6039" w:rsidP="008B54B4">
            <w:pPr>
              <w:autoSpaceDE w:val="0"/>
              <w:autoSpaceDN w:val="0"/>
              <w:adjustRightInd w:val="0"/>
              <w:rPr>
                <w:rFonts w:ascii="Arial" w:hAnsi="Arial" w:cs="Arial"/>
                <w:i/>
                <w:color w:val="000000"/>
                <w:sz w:val="20"/>
                <w:szCs w:val="20"/>
              </w:rPr>
            </w:pP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FC7537">
        <w:trPr>
          <w:trHeight w:val="70"/>
        </w:trPr>
        <w:tc>
          <w:tcPr>
            <w:tcW w:w="9411" w:type="dxa"/>
          </w:tcPr>
          <w:p w14:paraId="21B76A0B" w14:textId="77777777" w:rsidR="008B54B4" w:rsidRPr="00713B46" w:rsidRDefault="008B54B4" w:rsidP="00FC7537">
            <w:pPr>
              <w:autoSpaceDE w:val="0"/>
              <w:autoSpaceDN w:val="0"/>
              <w:adjustRightInd w:val="0"/>
              <w:rPr>
                <w:rFonts w:ascii="Arial" w:hAnsi="Arial" w:cs="Arial"/>
                <w:color w:val="000000"/>
                <w:sz w:val="20"/>
                <w:szCs w:val="20"/>
              </w:rPr>
            </w:pPr>
          </w:p>
        </w:tc>
      </w:tr>
    </w:tbl>
    <w:p w14:paraId="79223114" w14:textId="6E3BAD93" w:rsidR="00547C44" w:rsidRDefault="00547C44" w:rsidP="00D27FED">
      <w:pPr>
        <w:spacing w:after="0"/>
        <w:contextualSpacing/>
        <w:rPr>
          <w:rFonts w:ascii="Arial" w:hAnsi="Arial" w:cs="Arial"/>
          <w:b/>
          <w:sz w:val="24"/>
          <w:szCs w:val="24"/>
        </w:rPr>
      </w:pPr>
    </w:p>
    <w:p w14:paraId="027ECB68" w14:textId="77777777" w:rsidR="002903F0" w:rsidRPr="00547C44" w:rsidRDefault="002903F0"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FC7537">
        <w:trPr>
          <w:trHeight w:val="2677"/>
        </w:trPr>
        <w:tc>
          <w:tcPr>
            <w:tcW w:w="9411" w:type="dxa"/>
          </w:tcPr>
          <w:p w14:paraId="655AFA8D" w14:textId="77777777" w:rsidR="00642219" w:rsidRDefault="00642219" w:rsidP="00FC7537">
            <w:pPr>
              <w:pStyle w:val="ListParagraph"/>
              <w:autoSpaceDE w:val="0"/>
              <w:autoSpaceDN w:val="0"/>
              <w:adjustRightInd w:val="0"/>
              <w:rPr>
                <w:rFonts w:ascii="Arial" w:hAnsi="Arial" w:cs="Arial"/>
                <w:b/>
                <w:i/>
                <w:color w:val="000000" w:themeColor="text1"/>
                <w:sz w:val="20"/>
                <w:szCs w:val="20"/>
              </w:rPr>
            </w:pPr>
          </w:p>
          <w:p w14:paraId="7C0546B2" w14:textId="520D5AA3" w:rsidR="00FC7537" w:rsidRPr="00FC7537" w:rsidRDefault="00FC7537" w:rsidP="00FC7537">
            <w:pPr>
              <w:pStyle w:val="ListParagraph"/>
              <w:autoSpaceDE w:val="0"/>
              <w:autoSpaceDN w:val="0"/>
              <w:adjustRightInd w:val="0"/>
              <w:rPr>
                <w:rFonts w:ascii="Arial" w:hAnsi="Arial" w:cs="Arial"/>
                <w:i/>
                <w:color w:val="000000" w:themeColor="text1"/>
                <w:sz w:val="20"/>
                <w:szCs w:val="20"/>
              </w:rPr>
            </w:pPr>
            <w:r w:rsidRPr="00FC7537">
              <w:rPr>
                <w:rFonts w:ascii="Arial" w:hAnsi="Arial" w:cs="Arial"/>
                <w:b/>
                <w:i/>
                <w:color w:val="000000" w:themeColor="text1"/>
                <w:sz w:val="20"/>
                <w:szCs w:val="20"/>
              </w:rPr>
              <w:t>Missed midterm</w:t>
            </w:r>
            <w:r w:rsidRPr="00FC7537">
              <w:rPr>
                <w:rFonts w:ascii="Arial" w:hAnsi="Arial" w:cs="Arial"/>
                <w:i/>
                <w:color w:val="000000" w:themeColor="text1"/>
                <w:sz w:val="20"/>
                <w:szCs w:val="20"/>
              </w:rPr>
              <w:t xml:space="preserve"> there is no make-up test – weight will be transferred to final exam (e.g. final will be worth 70%).  For a missed midterm an “Attending Physician’s Statement” will need to be completed by a Physician and handed in to me or a grade of zero will be awarded.  </w:t>
            </w:r>
          </w:p>
          <w:p w14:paraId="717620DC" w14:textId="77777777" w:rsidR="00FC7537" w:rsidRPr="00FC7537" w:rsidRDefault="00FC7537" w:rsidP="00FC7537">
            <w:pPr>
              <w:pStyle w:val="ListParagraph"/>
              <w:autoSpaceDE w:val="0"/>
              <w:autoSpaceDN w:val="0"/>
              <w:adjustRightInd w:val="0"/>
              <w:rPr>
                <w:rFonts w:ascii="Arial" w:hAnsi="Arial" w:cs="Arial"/>
                <w:i/>
                <w:color w:val="000000" w:themeColor="text1"/>
                <w:sz w:val="20"/>
                <w:szCs w:val="20"/>
              </w:rPr>
            </w:pPr>
          </w:p>
          <w:p w14:paraId="5BD77E0C" w14:textId="77777777" w:rsidR="00FC7537" w:rsidRPr="00FC7537" w:rsidRDefault="00FC7537" w:rsidP="00FC7537">
            <w:pPr>
              <w:pStyle w:val="ListParagraph"/>
              <w:autoSpaceDE w:val="0"/>
              <w:autoSpaceDN w:val="0"/>
              <w:adjustRightInd w:val="0"/>
              <w:rPr>
                <w:rFonts w:ascii="Arial" w:hAnsi="Arial" w:cs="Arial"/>
                <w:i/>
                <w:color w:val="000000" w:themeColor="text1"/>
                <w:sz w:val="20"/>
                <w:szCs w:val="20"/>
              </w:rPr>
            </w:pPr>
            <w:r w:rsidRPr="00FC7537">
              <w:rPr>
                <w:rFonts w:ascii="Arial" w:hAnsi="Arial" w:cs="Arial"/>
                <w:b/>
                <w:i/>
                <w:color w:val="000000" w:themeColor="text1"/>
                <w:sz w:val="20"/>
                <w:szCs w:val="20"/>
              </w:rPr>
              <w:t>Late submission</w:t>
            </w:r>
            <w:r w:rsidRPr="00FC7537">
              <w:rPr>
                <w:rFonts w:ascii="Arial" w:hAnsi="Arial" w:cs="Arial"/>
                <w:i/>
                <w:color w:val="000000" w:themeColor="text1"/>
                <w:sz w:val="20"/>
                <w:szCs w:val="20"/>
              </w:rPr>
              <w:t xml:space="preserve"> of Independent Critical Review Paper – for late submissions, there will be a 10% deduction for each day past the set deadline date.</w:t>
            </w:r>
          </w:p>
          <w:p w14:paraId="750B8260" w14:textId="77777777" w:rsidR="00FC7537" w:rsidRPr="00FC7537" w:rsidRDefault="00FC7537" w:rsidP="00FC7537">
            <w:pPr>
              <w:pStyle w:val="ListParagraph"/>
              <w:autoSpaceDE w:val="0"/>
              <w:autoSpaceDN w:val="0"/>
              <w:adjustRightInd w:val="0"/>
              <w:rPr>
                <w:rFonts w:ascii="Arial" w:hAnsi="Arial" w:cs="Arial"/>
                <w:b/>
                <w:i/>
                <w:color w:val="000000" w:themeColor="text1"/>
                <w:sz w:val="20"/>
                <w:szCs w:val="20"/>
              </w:rPr>
            </w:pPr>
          </w:p>
          <w:p w14:paraId="53FA0EA5" w14:textId="55958BEB" w:rsidR="0015524D" w:rsidRPr="008B54B4" w:rsidRDefault="00FC7537" w:rsidP="00FC7537">
            <w:pPr>
              <w:pStyle w:val="ListParagraph"/>
              <w:autoSpaceDE w:val="0"/>
              <w:autoSpaceDN w:val="0"/>
              <w:adjustRightInd w:val="0"/>
              <w:rPr>
                <w:rFonts w:ascii="Arial" w:hAnsi="Arial" w:cs="Arial"/>
                <w:color w:val="000000"/>
                <w:sz w:val="24"/>
                <w:szCs w:val="24"/>
              </w:rPr>
            </w:pPr>
            <w:r w:rsidRPr="00FC7537">
              <w:rPr>
                <w:rFonts w:ascii="Arial" w:hAnsi="Arial" w:cs="Arial"/>
                <w:b/>
                <w:i/>
                <w:color w:val="000000" w:themeColor="text1"/>
                <w:sz w:val="20"/>
                <w:szCs w:val="20"/>
              </w:rPr>
              <w:t>Missed final exam</w:t>
            </w:r>
            <w:r w:rsidRPr="00FC7537">
              <w:rPr>
                <w:rFonts w:ascii="Arial" w:hAnsi="Arial" w:cs="Arial"/>
                <w:i/>
                <w:color w:val="000000" w:themeColor="text1"/>
                <w:sz w:val="20"/>
                <w:szCs w:val="20"/>
              </w:rPr>
              <w:t>, you will need to file a petition to write a deferred exam. Note, the questions on the deferred final exam will be different from the regular exam and the format of the deferred final exam could also be different.</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6D656982" w:rsidR="00E535A7" w:rsidRDefault="00E535A7" w:rsidP="00E07D5F">
            <w:pPr>
              <w:pStyle w:val="Default"/>
              <w:ind w:left="142"/>
              <w:rPr>
                <w:sz w:val="20"/>
                <w:szCs w:val="20"/>
              </w:rPr>
            </w:pPr>
            <w:r>
              <w:rPr>
                <w:sz w:val="20"/>
                <w:szCs w:val="20"/>
              </w:rPr>
              <w:t>York students are required to maintain the highest standards of academic honesty and they are subject to the Senate Policy on Academic Honesty (</w:t>
            </w:r>
            <w:hyperlink r:id="rId9" w:history="1">
              <w:r w:rsidRPr="00F20484">
                <w:rPr>
                  <w:rStyle w:val="Hyperlink"/>
                  <w:sz w:val="20"/>
                  <w:szCs w:val="20"/>
                </w:rPr>
                <w:t>http://secretariat-policies.info.yorku.ca/policies/academic-honesty-senate-policy-on/).</w:t>
              </w:r>
            </w:hyperlink>
            <w:r>
              <w:rPr>
                <w:sz w:val="20"/>
                <w:szCs w:val="20"/>
              </w:rPr>
              <w:t xml:space="preserve"> The Policy affirms the responsibility of faculty members to foster acceptable standards of academic conduct and of the student to abide by such standards. </w:t>
            </w:r>
          </w:p>
          <w:p w14:paraId="59F2889D" w14:textId="4FE5051A" w:rsidR="00E535A7" w:rsidRDefault="00E535A7" w:rsidP="00E07D5F">
            <w:pPr>
              <w:pStyle w:val="Default"/>
              <w:ind w:left="142"/>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hyperlink r:id="rId10" w:history="1">
              <w:r w:rsidRPr="00F20484">
                <w:rPr>
                  <w:rStyle w:val="Hyperlink"/>
                  <w:sz w:val="20"/>
                  <w:szCs w:val="20"/>
                </w:rPr>
                <w:t>http://www.yorku.ca/academicintegrity/</w:t>
              </w:r>
            </w:hyperlink>
            <w:r>
              <w:rPr>
                <w:color w:val="0000FF"/>
                <w:sz w:val="20"/>
                <w:szCs w:val="20"/>
              </w:rPr>
              <w:t xml:space="preserve"> </w:t>
            </w:r>
          </w:p>
          <w:p w14:paraId="0749DF19" w14:textId="77777777" w:rsidR="00E07D5F" w:rsidRDefault="00E07D5F" w:rsidP="00E535A7">
            <w:pPr>
              <w:pStyle w:val="Default"/>
              <w:rPr>
                <w:b/>
                <w:bCs/>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07D5F">
            <w:pPr>
              <w:pStyle w:val="Default"/>
              <w:ind w:left="142"/>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07D5F">
            <w:pPr>
              <w:pStyle w:val="Default"/>
              <w:ind w:left="142"/>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07D5F">
            <w:pPr>
              <w:pStyle w:val="Default"/>
              <w:ind w:left="142"/>
              <w:rPr>
                <w:sz w:val="20"/>
                <w:szCs w:val="20"/>
              </w:rPr>
            </w:pPr>
            <w:r>
              <w:rPr>
                <w:sz w:val="20"/>
                <w:szCs w:val="20"/>
              </w:rPr>
              <w:t xml:space="preserve">Additional information is available at the following websites: </w:t>
            </w:r>
          </w:p>
          <w:p w14:paraId="2E286E50" w14:textId="74D96A7C" w:rsidR="00E535A7" w:rsidRDefault="00E535A7" w:rsidP="00E07D5F">
            <w:pPr>
              <w:pStyle w:val="Default"/>
              <w:ind w:left="142"/>
              <w:rPr>
                <w:color w:val="0000FF"/>
                <w:sz w:val="20"/>
                <w:szCs w:val="20"/>
              </w:rPr>
            </w:pPr>
            <w:r>
              <w:rPr>
                <w:sz w:val="20"/>
                <w:szCs w:val="20"/>
              </w:rPr>
              <w:t xml:space="preserve">Counselling &amp; Disability Services - </w:t>
            </w:r>
            <w:hyperlink r:id="rId11" w:history="1">
              <w:r w:rsidRPr="00F20484">
                <w:rPr>
                  <w:rStyle w:val="Hyperlink"/>
                  <w:sz w:val="20"/>
                  <w:szCs w:val="20"/>
                </w:rPr>
                <w:t>http://cds.info.yorku.ca/</w:t>
              </w:r>
            </w:hyperlink>
            <w:r>
              <w:rPr>
                <w:color w:val="0000FF"/>
                <w:sz w:val="20"/>
                <w:szCs w:val="20"/>
              </w:rPr>
              <w:t xml:space="preserve"> </w:t>
            </w:r>
          </w:p>
          <w:p w14:paraId="3D8B4979" w14:textId="5E484564" w:rsidR="00F20484" w:rsidRDefault="00E535A7" w:rsidP="00E07D5F">
            <w:pPr>
              <w:pStyle w:val="Default"/>
              <w:ind w:left="142"/>
              <w:rPr>
                <w:color w:val="0000FF"/>
                <w:sz w:val="20"/>
                <w:szCs w:val="20"/>
              </w:rPr>
            </w:pPr>
            <w:r>
              <w:rPr>
                <w:sz w:val="20"/>
                <w:szCs w:val="20"/>
              </w:rPr>
              <w:t xml:space="preserve">Counselling &amp; Disability Services at Glendon - </w:t>
            </w:r>
            <w:hyperlink r:id="rId12" w:history="1">
              <w:r w:rsidR="00F20484" w:rsidRPr="00F20484">
                <w:rPr>
                  <w:rStyle w:val="Hyperlink"/>
                  <w:sz w:val="20"/>
                  <w:szCs w:val="20"/>
                </w:rPr>
                <w:t>https://www.glendon.yorku.ca/counselling/</w:t>
              </w:r>
            </w:hyperlink>
            <w:r w:rsidR="00F20484" w:rsidRPr="00F20484">
              <w:rPr>
                <w:color w:val="0000FF"/>
                <w:sz w:val="20"/>
                <w:szCs w:val="20"/>
              </w:rPr>
              <w:t xml:space="preserve"> </w:t>
            </w:r>
          </w:p>
          <w:p w14:paraId="4CA58350" w14:textId="304BD8E8" w:rsidR="00E535A7" w:rsidRDefault="00E535A7" w:rsidP="00E07D5F">
            <w:pPr>
              <w:pStyle w:val="Default"/>
              <w:ind w:left="142"/>
              <w:rPr>
                <w:color w:val="0000FF"/>
                <w:sz w:val="20"/>
                <w:szCs w:val="20"/>
              </w:rPr>
            </w:pPr>
            <w:r>
              <w:rPr>
                <w:sz w:val="20"/>
                <w:szCs w:val="20"/>
              </w:rPr>
              <w:t xml:space="preserve">York Accessibility Hub - </w:t>
            </w:r>
            <w:hyperlink r:id="rId13" w:history="1">
              <w:r w:rsidRPr="00F20484">
                <w:rPr>
                  <w:rStyle w:val="Hyperlink"/>
                  <w:sz w:val="20"/>
                  <w:szCs w:val="20"/>
                </w:rPr>
                <w:t>http://accessibilityhub.info.yorku.ca/</w:t>
              </w:r>
            </w:hyperlink>
            <w:r>
              <w:rPr>
                <w:color w:val="0000FF"/>
                <w:sz w:val="20"/>
                <w:szCs w:val="20"/>
              </w:rPr>
              <w:t xml:space="preserve"> </w:t>
            </w:r>
          </w:p>
          <w:p w14:paraId="04D8BE8E" w14:textId="77777777" w:rsidR="00E07D5F" w:rsidRDefault="00E07D5F" w:rsidP="007A721E">
            <w:pPr>
              <w:pStyle w:val="Default"/>
              <w:rPr>
                <w:b/>
                <w:bCs/>
                <w:sz w:val="20"/>
                <w:szCs w:val="20"/>
              </w:rPr>
            </w:pP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50F855B2" w:rsidR="00E535A7" w:rsidRDefault="00E535A7" w:rsidP="00E07D5F">
            <w:pPr>
              <w:pStyle w:val="Default"/>
              <w:ind w:left="142"/>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w:t>
            </w:r>
            <w:r w:rsidR="00E07D5F">
              <w:rPr>
                <w:sz w:val="20"/>
                <w:szCs w:val="20"/>
              </w:rPr>
              <w:t xml:space="preserve">and submit </w:t>
            </w:r>
            <w:r>
              <w:rPr>
                <w:sz w:val="20"/>
                <w:szCs w:val="20"/>
              </w:rPr>
              <w:t xml:space="preserve">an </w:t>
            </w:r>
            <w:hyperlink r:id="rId14" w:history="1">
              <w:r w:rsidRPr="00F20484">
                <w:rPr>
                  <w:rStyle w:val="Hyperlink"/>
                  <w:sz w:val="20"/>
                  <w:szCs w:val="20"/>
                </w:rPr>
                <w:t>Examination Accommodation Form</w:t>
              </w:r>
            </w:hyperlink>
            <w:r w:rsidR="00E07D5F">
              <w:rPr>
                <w:sz w:val="20"/>
                <w:szCs w:val="20"/>
              </w:rPr>
              <w:t xml:space="preserve"> at least 3 weeks before the exam period begins. The form </w:t>
            </w:r>
            <w:r>
              <w:rPr>
                <w:sz w:val="20"/>
                <w:szCs w:val="20"/>
              </w:rPr>
              <w:t xml:space="preserve">can be obtained from Student Client Services, Student Services Centre or online at </w:t>
            </w:r>
            <w:r>
              <w:rPr>
                <w:color w:val="CC0000"/>
                <w:sz w:val="20"/>
                <w:szCs w:val="20"/>
              </w:rPr>
              <w:t>http://www.registrar.yorku.ca/pdf/exam_accommodation.pdf</w:t>
            </w:r>
          </w:p>
          <w:p w14:paraId="042BBB01" w14:textId="77777777" w:rsidR="00E07D5F" w:rsidRDefault="00E07D5F" w:rsidP="00E535A7">
            <w:pPr>
              <w:pStyle w:val="Default"/>
              <w:rPr>
                <w:b/>
                <w:bCs/>
                <w:sz w:val="20"/>
                <w:szCs w:val="20"/>
              </w:rPr>
            </w:pP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40193233" w:rsidR="008B54B4" w:rsidRPr="00E07D5F" w:rsidRDefault="00E535A7" w:rsidP="00E07D5F">
            <w:pPr>
              <w:autoSpaceDE w:val="0"/>
              <w:autoSpaceDN w:val="0"/>
              <w:adjustRightInd w:val="0"/>
              <w:ind w:left="142"/>
              <w:rPr>
                <w:rFonts w:ascii="Arial" w:hAnsi="Arial" w:cs="Arial"/>
                <w:color w:val="000000"/>
                <w:sz w:val="20"/>
                <w:szCs w:val="20"/>
                <w:lang w:val="en-US"/>
              </w:rPr>
            </w:pPr>
            <w:r w:rsidRPr="00E07D5F">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w:t>
            </w:r>
            <w:r w:rsidRPr="00E07D5F">
              <w:rPr>
                <w:rFonts w:ascii="Arial" w:hAnsi="Arial" w:cs="Arial"/>
                <w:sz w:val="20"/>
                <w:szCs w:val="20"/>
              </w:rPr>
              <w:lastRenderedPageBreak/>
              <w:t xml:space="preserve">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hyperlink r:id="rId15" w:history="1">
              <w:r w:rsidRPr="00F20484">
                <w:rPr>
                  <w:rStyle w:val="Hyperlink"/>
                  <w:rFonts w:ascii="Arial" w:hAnsi="Arial" w:cs="Arial"/>
                  <w:sz w:val="20"/>
                  <w:szCs w:val="20"/>
                </w:rPr>
                <w:t>http://secretariat-policies.info.yorku.ca/policies/disruptive-andor-harassing-behaviour-in-academic-situations-senate-policy/</w:t>
              </w:r>
            </w:hyperlink>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6"/>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9EFA" w14:textId="77777777" w:rsidR="00B36FC8" w:rsidRDefault="00B36FC8" w:rsidP="00D27FED">
      <w:pPr>
        <w:spacing w:after="0" w:line="240" w:lineRule="auto"/>
      </w:pPr>
      <w:r>
        <w:separator/>
      </w:r>
    </w:p>
  </w:endnote>
  <w:endnote w:type="continuationSeparator" w:id="0">
    <w:p w14:paraId="462C40FF" w14:textId="77777777" w:rsidR="00B36FC8" w:rsidRDefault="00B36FC8"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7A721E">
          <w:rPr>
            <w:rFonts w:ascii="Times New Roman" w:hAnsi="Times New Roman" w:cs="Times New Roman"/>
            <w:noProof/>
          </w:rPr>
          <w:t>3</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A1F7" w14:textId="77777777" w:rsidR="00B36FC8" w:rsidRDefault="00B36FC8" w:rsidP="00D27FED">
      <w:pPr>
        <w:spacing w:after="0" w:line="240" w:lineRule="auto"/>
      </w:pPr>
      <w:r>
        <w:separator/>
      </w:r>
    </w:p>
  </w:footnote>
  <w:footnote w:type="continuationSeparator" w:id="0">
    <w:p w14:paraId="1B070445" w14:textId="77777777" w:rsidR="00B36FC8" w:rsidRDefault="00B36FC8"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463E1"/>
    <w:rsid w:val="000534DA"/>
    <w:rsid w:val="00077C01"/>
    <w:rsid w:val="0010288D"/>
    <w:rsid w:val="0015524D"/>
    <w:rsid w:val="00157812"/>
    <w:rsid w:val="00191E4C"/>
    <w:rsid w:val="001B7029"/>
    <w:rsid w:val="00205570"/>
    <w:rsid w:val="002903F0"/>
    <w:rsid w:val="002F70CB"/>
    <w:rsid w:val="003541C2"/>
    <w:rsid w:val="003C24B7"/>
    <w:rsid w:val="003E2795"/>
    <w:rsid w:val="00425E9F"/>
    <w:rsid w:val="00433332"/>
    <w:rsid w:val="00450274"/>
    <w:rsid w:val="004A2DA9"/>
    <w:rsid w:val="004E66D6"/>
    <w:rsid w:val="004F6039"/>
    <w:rsid w:val="00521290"/>
    <w:rsid w:val="005231D0"/>
    <w:rsid w:val="00547C44"/>
    <w:rsid w:val="0056515A"/>
    <w:rsid w:val="005833E0"/>
    <w:rsid w:val="005B62BA"/>
    <w:rsid w:val="005D308E"/>
    <w:rsid w:val="005D49AF"/>
    <w:rsid w:val="005E0BF9"/>
    <w:rsid w:val="006075F5"/>
    <w:rsid w:val="0062071E"/>
    <w:rsid w:val="00626B29"/>
    <w:rsid w:val="00642219"/>
    <w:rsid w:val="006B078F"/>
    <w:rsid w:val="006B19D3"/>
    <w:rsid w:val="007107BD"/>
    <w:rsid w:val="00713B46"/>
    <w:rsid w:val="007745CB"/>
    <w:rsid w:val="007A4A6C"/>
    <w:rsid w:val="007A70EE"/>
    <w:rsid w:val="007A721E"/>
    <w:rsid w:val="007C5285"/>
    <w:rsid w:val="007C6F0B"/>
    <w:rsid w:val="008B54B4"/>
    <w:rsid w:val="008D03E8"/>
    <w:rsid w:val="009250D9"/>
    <w:rsid w:val="00937578"/>
    <w:rsid w:val="00997481"/>
    <w:rsid w:val="00A03BC5"/>
    <w:rsid w:val="00A91B93"/>
    <w:rsid w:val="00A9322C"/>
    <w:rsid w:val="00AC6D25"/>
    <w:rsid w:val="00B10324"/>
    <w:rsid w:val="00B36FC8"/>
    <w:rsid w:val="00B403DD"/>
    <w:rsid w:val="00C1524D"/>
    <w:rsid w:val="00C56882"/>
    <w:rsid w:val="00C7420E"/>
    <w:rsid w:val="00CC0596"/>
    <w:rsid w:val="00CD407B"/>
    <w:rsid w:val="00CE3DC4"/>
    <w:rsid w:val="00CF26F6"/>
    <w:rsid w:val="00D27FED"/>
    <w:rsid w:val="00E07D5F"/>
    <w:rsid w:val="00E535A7"/>
    <w:rsid w:val="00E85EC2"/>
    <w:rsid w:val="00F12883"/>
    <w:rsid w:val="00F20484"/>
    <w:rsid w:val="00F455BE"/>
    <w:rsid w:val="00F553F1"/>
    <w:rsid w:val="00FC1267"/>
    <w:rsid w:val="00FC2D4C"/>
    <w:rsid w:val="00FC7537"/>
    <w:rsid w:val="00FF7C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rsid w:val="00F20484"/>
    <w:rPr>
      <w:color w:val="605E5C"/>
      <w:shd w:val="clear" w:color="auto" w:fill="E1DFDD"/>
    </w:rPr>
  </w:style>
  <w:style w:type="character" w:styleId="FollowedHyperlink">
    <w:name w:val="FollowedHyperlink"/>
    <w:basedOn w:val="DefaultParagraphFont"/>
    <w:uiPriority w:val="99"/>
    <w:semiHidden/>
    <w:unhideWhenUsed/>
    <w:rsid w:val="00F2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ccessibilityhub.info.yorku.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endon.yorku.ca/counsell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s.info.yorku.ca/" TargetMode="External"/><Relationship Id="rId5" Type="http://schemas.openxmlformats.org/officeDocument/2006/relationships/webSettings" Target="webSettings.xml"/><Relationship Id="rId15" Type="http://schemas.openxmlformats.org/officeDocument/2006/relationships/hyperlink" Target="http://secretariat-policies.info.yorku.ca/policies/disruptive-andor-harassing-behaviour-in-academic-situations-senate-policy/" TargetMode="External"/><Relationship Id="rId10" Type="http://schemas.openxmlformats.org/officeDocument/2006/relationships/hyperlink" Target="http://www.yorku.ca/academicintegrity/" TargetMode="External"/><Relationship Id="rId4" Type="http://schemas.openxmlformats.org/officeDocument/2006/relationships/settings" Target="settings.xml"/><Relationship Id="rId9" Type="http://schemas.openxmlformats.org/officeDocument/2006/relationships/hyperlink" Target="http://secretariat-policies.info.yorku.ca/policies/academic-honesty-senate-policy-on/" TargetMode="External"/><Relationship Id="rId14" Type="http://schemas.openxmlformats.org/officeDocument/2006/relationships/hyperlink" Target="https://registrar.yorku.ca/pdf/exam_accommo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6796-5DD8-47B9-930E-F4B09CBC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K. Andrew White</cp:lastModifiedBy>
  <cp:revision>7</cp:revision>
  <cp:lastPrinted>2015-08-03T18:07:00Z</cp:lastPrinted>
  <dcterms:created xsi:type="dcterms:W3CDTF">2020-10-27T19:18:00Z</dcterms:created>
  <dcterms:modified xsi:type="dcterms:W3CDTF">2021-10-25T17:33:00Z</dcterms:modified>
</cp:coreProperties>
</file>